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480AA" w14:textId="77777777" w:rsidR="00D86949" w:rsidRPr="00D86949" w:rsidRDefault="00D86949" w:rsidP="00D86949">
      <w:pPr>
        <w:shd w:val="clear" w:color="auto" w:fill="339696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86949">
        <w:rPr>
          <w:rFonts w:ascii="CenturyGothic" w:eastAsia="Times New Roman" w:hAnsi="CenturyGothic" w:cs="Times New Roman"/>
          <w:b/>
          <w:bCs/>
          <w:color w:val="FFFFFF"/>
          <w:sz w:val="36"/>
          <w:szCs w:val="36"/>
        </w:rPr>
        <w:t xml:space="preserve">Interim Guidance for Long-Term Care: </w:t>
      </w:r>
      <w:r>
        <w:rPr>
          <w:rFonts w:ascii="CenturyGothic" w:eastAsia="Times New Roman" w:hAnsi="CenturyGothic" w:cs="Times New Roman"/>
          <w:b/>
          <w:bCs/>
          <w:color w:val="FFFFFF"/>
          <w:sz w:val="32"/>
          <w:szCs w:val="32"/>
        </w:rPr>
        <w:t>Interfacility Transfers of</w:t>
      </w:r>
      <w:r w:rsidRPr="00D86949">
        <w:rPr>
          <w:rFonts w:ascii="CenturyGothic" w:eastAsia="Times New Roman" w:hAnsi="CenturyGothic" w:cs="Times New Roman"/>
          <w:b/>
          <w:bCs/>
          <w:color w:val="FFFFFF"/>
          <w:sz w:val="32"/>
          <w:szCs w:val="32"/>
        </w:rPr>
        <w:t xml:space="preserve"> Resident</w:t>
      </w:r>
      <w:r>
        <w:rPr>
          <w:rFonts w:ascii="CenturyGothic" w:eastAsia="Times New Roman" w:hAnsi="CenturyGothic" w:cs="Times New Roman"/>
          <w:b/>
          <w:bCs/>
          <w:color w:val="FFFFFF"/>
          <w:sz w:val="32"/>
          <w:szCs w:val="32"/>
        </w:rPr>
        <w:t>s</w:t>
      </w:r>
      <w:r w:rsidRPr="00D86949">
        <w:rPr>
          <w:rFonts w:ascii="CenturyGothic" w:eastAsia="Times New Roman" w:hAnsi="CenturyGothic" w:cs="Times New Roman"/>
          <w:b/>
          <w:bCs/>
          <w:color w:val="FFFFFF"/>
          <w:sz w:val="32"/>
          <w:szCs w:val="32"/>
        </w:rPr>
        <w:t xml:space="preserve"> with</w:t>
      </w:r>
      <w:r>
        <w:rPr>
          <w:rFonts w:ascii="CenturyGothic" w:eastAsia="Times New Roman" w:hAnsi="CenturyGothic" w:cs="Times New Roman"/>
          <w:b/>
          <w:bCs/>
          <w:color w:val="FFFFFF"/>
          <w:sz w:val="32"/>
          <w:szCs w:val="32"/>
        </w:rPr>
        <w:t xml:space="preserve"> or without known</w:t>
      </w:r>
      <w:r w:rsidRPr="00D86949">
        <w:rPr>
          <w:rFonts w:ascii="CenturyGothic" w:eastAsia="Times New Roman" w:hAnsi="CenturyGothic" w:cs="Times New Roman"/>
          <w:b/>
          <w:bCs/>
          <w:color w:val="FFFFFF"/>
          <w:sz w:val="32"/>
          <w:szCs w:val="32"/>
        </w:rPr>
        <w:t xml:space="preserve"> COVID-19</w:t>
      </w:r>
    </w:p>
    <w:p w14:paraId="6A78B34D" w14:textId="77777777" w:rsidR="00D86949" w:rsidRPr="00D86949" w:rsidRDefault="00D86949" w:rsidP="00D8694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86949">
        <w:rPr>
          <w:rFonts w:ascii="CenturyGothic" w:eastAsia="Times New Roman" w:hAnsi="CenturyGothic" w:cs="Times New Roman"/>
          <w:b/>
          <w:bCs/>
          <w:color w:val="339696"/>
          <w:sz w:val="28"/>
          <w:szCs w:val="28"/>
        </w:rPr>
        <w:t xml:space="preserve">Background </w:t>
      </w:r>
    </w:p>
    <w:p w14:paraId="33837DFF" w14:textId="77777777" w:rsidR="00D86949" w:rsidRDefault="00D86949" w:rsidP="00D86949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 w:rsidRPr="00D86949">
        <w:rPr>
          <w:rFonts w:ascii="Calibri" w:eastAsia="Times New Roman" w:hAnsi="Calibri" w:cs="Calibri"/>
          <w:sz w:val="22"/>
          <w:szCs w:val="22"/>
        </w:rPr>
        <w:t>Acute care facilities</w:t>
      </w:r>
      <w:r w:rsidR="0058552B">
        <w:rPr>
          <w:rFonts w:ascii="Calibri" w:eastAsia="Times New Roman" w:hAnsi="Calibri" w:cs="Calibri"/>
          <w:sz w:val="22"/>
          <w:szCs w:val="22"/>
        </w:rPr>
        <w:t xml:space="preserve"> and LTCFs</w:t>
      </w:r>
      <w:r w:rsidRPr="00D86949">
        <w:rPr>
          <w:rFonts w:ascii="Calibri" w:eastAsia="Times New Roman" w:hAnsi="Calibri" w:cs="Calibri"/>
          <w:sz w:val="22"/>
          <w:szCs w:val="22"/>
        </w:rPr>
        <w:t xml:space="preserve"> are experiencing </w:t>
      </w:r>
      <w:r>
        <w:rPr>
          <w:rFonts w:ascii="Calibri" w:eastAsia="Times New Roman" w:hAnsi="Calibri" w:cs="Calibri"/>
          <w:sz w:val="22"/>
          <w:szCs w:val="22"/>
        </w:rPr>
        <w:t>significant stress related to the COVID-19 pandemic</w:t>
      </w:r>
      <w:r w:rsidRPr="00D86949">
        <w:rPr>
          <w:rFonts w:ascii="Calibri" w:eastAsia="Times New Roman" w:hAnsi="Calibri" w:cs="Calibri"/>
          <w:sz w:val="22"/>
          <w:szCs w:val="22"/>
        </w:rPr>
        <w:t xml:space="preserve">. There is a critical need </w:t>
      </w:r>
      <w:r>
        <w:rPr>
          <w:rFonts w:ascii="Calibri" w:eastAsia="Times New Roman" w:hAnsi="Calibri" w:cs="Calibri"/>
          <w:sz w:val="22"/>
          <w:szCs w:val="22"/>
        </w:rPr>
        <w:t>for</w:t>
      </w:r>
      <w:r w:rsidRPr="00D86949">
        <w:rPr>
          <w:rFonts w:ascii="Calibri" w:eastAsia="Times New Roman" w:hAnsi="Calibri" w:cs="Calibri"/>
          <w:sz w:val="22"/>
          <w:szCs w:val="22"/>
        </w:rPr>
        <w:t xml:space="preserve"> acute care hospitals to </w:t>
      </w:r>
      <w:r>
        <w:rPr>
          <w:rFonts w:ascii="Calibri" w:eastAsia="Times New Roman" w:hAnsi="Calibri" w:cs="Calibri"/>
          <w:sz w:val="22"/>
          <w:szCs w:val="22"/>
        </w:rPr>
        <w:t>be able to efficiently</w:t>
      </w:r>
      <w:r w:rsidR="0058552B">
        <w:rPr>
          <w:rFonts w:ascii="Calibri" w:eastAsia="Times New Roman" w:hAnsi="Calibri" w:cs="Calibri"/>
          <w:sz w:val="22"/>
          <w:szCs w:val="22"/>
        </w:rPr>
        <w:t xml:space="preserve"> and safely admit and</w:t>
      </w:r>
      <w:r>
        <w:rPr>
          <w:rFonts w:ascii="Calibri" w:eastAsia="Times New Roman" w:hAnsi="Calibri" w:cs="Calibri"/>
          <w:sz w:val="22"/>
          <w:szCs w:val="22"/>
        </w:rPr>
        <w:t xml:space="preserve"> discharge patients </w:t>
      </w:r>
      <w:r w:rsidR="0058552B">
        <w:rPr>
          <w:rFonts w:ascii="Calibri" w:eastAsia="Times New Roman" w:hAnsi="Calibri" w:cs="Calibri"/>
          <w:sz w:val="22"/>
          <w:szCs w:val="22"/>
        </w:rPr>
        <w:t xml:space="preserve">to and </w:t>
      </w:r>
      <w:r w:rsidR="009D3AC1">
        <w:rPr>
          <w:rFonts w:ascii="Calibri" w:eastAsia="Times New Roman" w:hAnsi="Calibri" w:cs="Calibri"/>
          <w:sz w:val="22"/>
          <w:szCs w:val="22"/>
        </w:rPr>
        <w:t>f</w:t>
      </w:r>
      <w:r>
        <w:rPr>
          <w:rFonts w:ascii="Calibri" w:eastAsia="Times New Roman" w:hAnsi="Calibri" w:cs="Calibri"/>
          <w:sz w:val="22"/>
          <w:szCs w:val="22"/>
        </w:rPr>
        <w:t xml:space="preserve">rom the hospital so they can </w:t>
      </w:r>
      <w:r w:rsidR="0058552B">
        <w:rPr>
          <w:rFonts w:ascii="Calibri" w:eastAsia="Times New Roman" w:hAnsi="Calibri" w:cs="Calibri"/>
          <w:sz w:val="22"/>
          <w:szCs w:val="22"/>
        </w:rPr>
        <w:t xml:space="preserve">effectively </w:t>
      </w:r>
      <w:r w:rsidRPr="00D86949">
        <w:rPr>
          <w:rFonts w:ascii="Calibri" w:eastAsia="Times New Roman" w:hAnsi="Calibri" w:cs="Calibri"/>
          <w:sz w:val="22"/>
          <w:szCs w:val="22"/>
        </w:rPr>
        <w:t xml:space="preserve">serve those who need emergency and intensive care during this ongoing COVID- 19 </w:t>
      </w:r>
      <w:r>
        <w:rPr>
          <w:rFonts w:ascii="Calibri" w:eastAsia="Times New Roman" w:hAnsi="Calibri" w:cs="Calibri"/>
          <w:sz w:val="22"/>
          <w:szCs w:val="22"/>
        </w:rPr>
        <w:t>pandemi</w:t>
      </w:r>
      <w:r w:rsidR="0058552B">
        <w:rPr>
          <w:rFonts w:ascii="Calibri" w:eastAsia="Times New Roman" w:hAnsi="Calibri" w:cs="Calibri"/>
          <w:sz w:val="22"/>
          <w:szCs w:val="22"/>
        </w:rPr>
        <w:t>c</w:t>
      </w:r>
      <w:r w:rsidRPr="00D86949">
        <w:rPr>
          <w:rFonts w:ascii="Calibri" w:eastAsia="Times New Roman" w:hAnsi="Calibri" w:cs="Calibri"/>
          <w:sz w:val="22"/>
          <w:szCs w:val="22"/>
        </w:rPr>
        <w:t xml:space="preserve">. One of the top priorities of Washington State Department of Social and Health Services (DSHS) is to work with patients who no longer have a need for acute care in a hospital to transition to alternative settings. (DSHS Letter 3/20/20 - </w:t>
      </w:r>
      <w:hyperlink r:id="rId5" w:history="1">
        <w:r w:rsidRPr="001F4DBB">
          <w:rPr>
            <w:rStyle w:val="Hyperlink"/>
            <w:rFonts w:ascii="Calibri" w:eastAsia="Times New Roman" w:hAnsi="Calibri" w:cs="Calibri"/>
            <w:sz w:val="22"/>
            <w:szCs w:val="22"/>
          </w:rPr>
          <w:t>https://www.dshs.wa.gov/sites/default/files/ALTSA/rcs/documents/nh/020-012.pdf</w:t>
        </w:r>
      </w:hyperlink>
      <w:r w:rsidRPr="00D86949">
        <w:rPr>
          <w:rFonts w:ascii="Calibri" w:eastAsia="Times New Roman" w:hAnsi="Calibri" w:cs="Calibri"/>
          <w:sz w:val="22"/>
          <w:szCs w:val="22"/>
        </w:rPr>
        <w:t>)</w:t>
      </w:r>
      <w:r>
        <w:rPr>
          <w:rFonts w:ascii="Calibri" w:eastAsia="Times New Roman" w:hAnsi="Calibri" w:cs="Calibri"/>
          <w:sz w:val="22"/>
          <w:szCs w:val="22"/>
        </w:rPr>
        <w:t>.</w:t>
      </w:r>
    </w:p>
    <w:p w14:paraId="56855E20" w14:textId="77777777" w:rsidR="0058552B" w:rsidRDefault="0058552B" w:rsidP="00D86949">
      <w:pPr>
        <w:spacing w:before="100" w:beforeAutospacing="1" w:after="100" w:afterAutospacing="1"/>
        <w:rPr>
          <w:rFonts w:ascii="CenturyGothic" w:eastAsia="Times New Roman" w:hAnsi="CenturyGothic" w:cs="Times New Roman"/>
          <w:b/>
          <w:bCs/>
          <w:color w:val="339696"/>
          <w:sz w:val="28"/>
          <w:szCs w:val="28"/>
        </w:rPr>
      </w:pPr>
      <w:r w:rsidRPr="00D86949">
        <w:rPr>
          <w:rFonts w:ascii="CenturyGothic" w:eastAsia="Times New Roman" w:hAnsi="CenturyGothic" w:cs="Times New Roman"/>
          <w:b/>
          <w:bCs/>
          <w:color w:val="339696"/>
          <w:sz w:val="28"/>
          <w:szCs w:val="28"/>
        </w:rPr>
        <w:t>A</w:t>
      </w:r>
      <w:r>
        <w:rPr>
          <w:rFonts w:ascii="CenturyGothic" w:eastAsia="Times New Roman" w:hAnsi="CenturyGothic" w:cs="Times New Roman"/>
          <w:b/>
          <w:bCs/>
          <w:color w:val="339696"/>
          <w:sz w:val="28"/>
          <w:szCs w:val="28"/>
        </w:rPr>
        <w:t>dmit</w:t>
      </w:r>
      <w:r w:rsidRPr="00D86949">
        <w:rPr>
          <w:rFonts w:ascii="CenturyGothic" w:eastAsia="Times New Roman" w:hAnsi="CenturyGothic" w:cs="Times New Roman"/>
          <w:b/>
          <w:bCs/>
          <w:color w:val="339696"/>
          <w:sz w:val="28"/>
          <w:szCs w:val="28"/>
        </w:rPr>
        <w:t>ting a Resident</w:t>
      </w:r>
      <w:r>
        <w:rPr>
          <w:rFonts w:ascii="CenturyGothic" w:eastAsia="Times New Roman" w:hAnsi="CenturyGothic" w:cs="Times New Roman"/>
          <w:b/>
          <w:bCs/>
          <w:color w:val="339696"/>
          <w:sz w:val="28"/>
          <w:szCs w:val="28"/>
        </w:rPr>
        <w:t xml:space="preserve"> from a LTCF to the hospital</w:t>
      </w:r>
    </w:p>
    <w:p w14:paraId="5578DE32" w14:textId="284AF7CD" w:rsidR="0058552B" w:rsidRPr="0058552B" w:rsidRDefault="0058552B" w:rsidP="00E73912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CenturyGothic" w:eastAsia="Times New Roman" w:hAnsi="CenturyGothic" w:cs="Times New Roman"/>
          <w:bCs/>
          <w:color w:val="339696"/>
          <w:sz w:val="28"/>
          <w:szCs w:val="28"/>
        </w:rPr>
      </w:pPr>
      <w:r w:rsidRPr="0058552B">
        <w:rPr>
          <w:rFonts w:ascii="Calibri" w:eastAsia="Times New Roman" w:hAnsi="Calibri" w:cs="Calibri"/>
          <w:sz w:val="22"/>
          <w:szCs w:val="22"/>
        </w:rPr>
        <w:t>Given the large number of outbreaks in LTCFs in the community</w:t>
      </w:r>
      <w:r w:rsidR="00875EE8">
        <w:rPr>
          <w:rFonts w:ascii="Calibri" w:eastAsia="Times New Roman" w:hAnsi="Calibri" w:cs="Calibri"/>
          <w:sz w:val="22"/>
          <w:szCs w:val="22"/>
        </w:rPr>
        <w:t>, residents</w:t>
      </w:r>
      <w:r w:rsidRPr="0058552B">
        <w:rPr>
          <w:rFonts w:ascii="Calibri" w:eastAsia="Times New Roman" w:hAnsi="Calibri" w:cs="Calibri"/>
          <w:sz w:val="22"/>
          <w:szCs w:val="22"/>
        </w:rPr>
        <w:t xml:space="preserve"> should undergo COVID screening if:</w:t>
      </w:r>
    </w:p>
    <w:p w14:paraId="18F10593" w14:textId="78F04AC9" w:rsidR="0058552B" w:rsidRPr="0058552B" w:rsidRDefault="0058552B" w:rsidP="0058552B">
      <w:pPr>
        <w:pStyle w:val="ListParagraph"/>
        <w:numPr>
          <w:ilvl w:val="1"/>
          <w:numId w:val="6"/>
        </w:numPr>
        <w:spacing w:before="100" w:beforeAutospacing="1" w:after="100" w:afterAutospacing="1"/>
        <w:rPr>
          <w:rFonts w:ascii="CenturyGothic" w:eastAsia="Times New Roman" w:hAnsi="CenturyGothic" w:cs="Times New Roman"/>
          <w:bCs/>
          <w:color w:val="339696"/>
          <w:sz w:val="28"/>
          <w:szCs w:val="28"/>
        </w:rPr>
      </w:pPr>
      <w:r>
        <w:rPr>
          <w:rFonts w:ascii="Calibri" w:eastAsia="Times New Roman" w:hAnsi="Calibri" w:cs="Calibri"/>
          <w:sz w:val="22"/>
          <w:szCs w:val="22"/>
        </w:rPr>
        <w:t>T</w:t>
      </w:r>
      <w:r w:rsidRPr="0058552B">
        <w:rPr>
          <w:rFonts w:ascii="Calibri" w:eastAsia="Times New Roman" w:hAnsi="Calibri" w:cs="Calibri"/>
          <w:sz w:val="22"/>
          <w:szCs w:val="22"/>
        </w:rPr>
        <w:t>hey are not already confirmed</w:t>
      </w:r>
      <w:r w:rsidR="00875EE8">
        <w:rPr>
          <w:rFonts w:ascii="Calibri" w:eastAsia="Times New Roman" w:hAnsi="Calibri" w:cs="Calibri"/>
          <w:sz w:val="22"/>
          <w:szCs w:val="22"/>
        </w:rPr>
        <w:t xml:space="preserve"> to have COVID-19 and</w:t>
      </w:r>
    </w:p>
    <w:p w14:paraId="716F90F8" w14:textId="77777777" w:rsidR="0058552B" w:rsidRPr="0058552B" w:rsidRDefault="0058552B" w:rsidP="0058552B">
      <w:pPr>
        <w:pStyle w:val="ListParagraph"/>
        <w:numPr>
          <w:ilvl w:val="1"/>
          <w:numId w:val="6"/>
        </w:numPr>
        <w:spacing w:before="100" w:beforeAutospacing="1" w:after="100" w:afterAutospacing="1"/>
        <w:rPr>
          <w:rFonts w:ascii="CenturyGothic" w:eastAsia="Times New Roman" w:hAnsi="CenturyGothic" w:cs="Times New Roman"/>
          <w:bCs/>
          <w:color w:val="339696"/>
          <w:sz w:val="28"/>
          <w:szCs w:val="28"/>
        </w:rPr>
      </w:pPr>
      <w:r>
        <w:rPr>
          <w:rFonts w:ascii="Calibri" w:eastAsia="Times New Roman" w:hAnsi="Calibri" w:cs="Calibri"/>
          <w:sz w:val="22"/>
          <w:szCs w:val="22"/>
        </w:rPr>
        <w:t>T</w:t>
      </w:r>
      <w:r w:rsidRPr="0058552B">
        <w:rPr>
          <w:rFonts w:ascii="Calibri" w:eastAsia="Times New Roman" w:hAnsi="Calibri" w:cs="Calibri"/>
          <w:sz w:val="22"/>
          <w:szCs w:val="22"/>
        </w:rPr>
        <w:t>hey have not been tested in the previous 72 hours</w:t>
      </w:r>
      <w:r>
        <w:rPr>
          <w:rFonts w:ascii="Calibri" w:eastAsia="Times New Roman" w:hAnsi="Calibri" w:cs="Calibri"/>
          <w:sz w:val="22"/>
          <w:szCs w:val="22"/>
        </w:rPr>
        <w:t xml:space="preserve">, </w:t>
      </w:r>
      <w:r w:rsidRPr="0058552B">
        <w:rPr>
          <w:rFonts w:ascii="Calibri" w:eastAsia="Times New Roman" w:hAnsi="Calibri" w:cs="Calibri"/>
          <w:sz w:val="22"/>
          <w:szCs w:val="22"/>
        </w:rPr>
        <w:t>or</w:t>
      </w:r>
    </w:p>
    <w:p w14:paraId="60197F9D" w14:textId="77777777" w:rsidR="0058552B" w:rsidRPr="0058552B" w:rsidRDefault="0058552B" w:rsidP="0058552B">
      <w:pPr>
        <w:pStyle w:val="ListParagraph"/>
        <w:numPr>
          <w:ilvl w:val="1"/>
          <w:numId w:val="6"/>
        </w:numPr>
        <w:spacing w:before="100" w:beforeAutospacing="1" w:after="100" w:afterAutospacing="1"/>
        <w:rPr>
          <w:rFonts w:ascii="CenturyGothic" w:eastAsia="Times New Roman" w:hAnsi="CenturyGothic" w:cs="Times New Roman"/>
          <w:bCs/>
          <w:color w:val="339696"/>
          <w:sz w:val="28"/>
          <w:szCs w:val="28"/>
        </w:rPr>
      </w:pPr>
      <w:r>
        <w:rPr>
          <w:rFonts w:ascii="Calibri" w:eastAsia="Times New Roman" w:hAnsi="Calibri" w:cs="Calibri"/>
          <w:sz w:val="22"/>
          <w:szCs w:val="22"/>
        </w:rPr>
        <w:t>T</w:t>
      </w:r>
      <w:r w:rsidRPr="0058552B">
        <w:rPr>
          <w:rFonts w:ascii="Calibri" w:eastAsia="Times New Roman" w:hAnsi="Calibri" w:cs="Calibri"/>
          <w:sz w:val="22"/>
          <w:szCs w:val="22"/>
        </w:rPr>
        <w:t xml:space="preserve">here is </w:t>
      </w:r>
      <w:r w:rsidR="009D3AC1">
        <w:rPr>
          <w:rFonts w:ascii="Calibri" w:eastAsia="Times New Roman" w:hAnsi="Calibri" w:cs="Calibri"/>
          <w:sz w:val="22"/>
          <w:szCs w:val="22"/>
        </w:rPr>
        <w:t xml:space="preserve">clinical </w:t>
      </w:r>
      <w:r w:rsidRPr="0058552B">
        <w:rPr>
          <w:rFonts w:ascii="Calibri" w:eastAsia="Times New Roman" w:hAnsi="Calibri" w:cs="Calibri"/>
          <w:sz w:val="22"/>
          <w:szCs w:val="22"/>
        </w:rPr>
        <w:t>concern for COVID-19</w:t>
      </w:r>
      <w:r w:rsidR="009D3AC1">
        <w:rPr>
          <w:rFonts w:ascii="Calibri" w:eastAsia="Times New Roman" w:hAnsi="Calibri" w:cs="Calibri"/>
          <w:sz w:val="22"/>
          <w:szCs w:val="22"/>
        </w:rPr>
        <w:t xml:space="preserve"> infection</w:t>
      </w:r>
    </w:p>
    <w:p w14:paraId="4D419E40" w14:textId="760AEA43" w:rsidR="00E73912" w:rsidRPr="00E73912" w:rsidRDefault="0058552B" w:rsidP="0058552B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CenturyGothic" w:eastAsia="Times New Roman" w:hAnsi="CenturyGothic" w:cs="Times New Roman"/>
          <w:bCs/>
          <w:color w:val="339696"/>
          <w:sz w:val="28"/>
          <w:szCs w:val="28"/>
        </w:rPr>
      </w:pPr>
      <w:r>
        <w:rPr>
          <w:rFonts w:ascii="Calibri" w:eastAsia="Times New Roman" w:hAnsi="Calibri" w:cs="Calibri"/>
          <w:sz w:val="22"/>
          <w:szCs w:val="22"/>
        </w:rPr>
        <w:t xml:space="preserve">Consider placing </w:t>
      </w:r>
      <w:r w:rsidR="00E73912">
        <w:rPr>
          <w:rFonts w:ascii="Calibri" w:eastAsia="Times New Roman" w:hAnsi="Calibri" w:cs="Calibri"/>
          <w:sz w:val="22"/>
          <w:szCs w:val="22"/>
        </w:rPr>
        <w:t>on presumptive contact/droplet precautions if status is unknown, while awaiting testing results.</w:t>
      </w:r>
      <w:r w:rsidR="00AC27F0">
        <w:rPr>
          <w:rFonts w:ascii="Calibri" w:eastAsia="Times New Roman" w:hAnsi="Calibri" w:cs="Calibri"/>
          <w:sz w:val="22"/>
          <w:szCs w:val="22"/>
        </w:rPr>
        <w:t xml:space="preserve"> Especially if there are any concerning symptoms or if the transferring facility has known cases of COVID</w:t>
      </w:r>
      <w:r w:rsidR="00875EE8">
        <w:rPr>
          <w:rFonts w:ascii="Calibri" w:eastAsia="Times New Roman" w:hAnsi="Calibri" w:cs="Calibri"/>
          <w:sz w:val="22"/>
          <w:szCs w:val="22"/>
        </w:rPr>
        <w:t>-19</w:t>
      </w:r>
      <w:r w:rsidR="00AC27F0">
        <w:rPr>
          <w:rFonts w:ascii="Calibri" w:eastAsia="Times New Roman" w:hAnsi="Calibri" w:cs="Calibri"/>
          <w:sz w:val="22"/>
          <w:szCs w:val="22"/>
        </w:rPr>
        <w:t>.</w:t>
      </w:r>
    </w:p>
    <w:p w14:paraId="6960CC86" w14:textId="77777777" w:rsidR="00E73912" w:rsidRDefault="00E73912" w:rsidP="00E73912">
      <w:pPr>
        <w:spacing w:before="100" w:beforeAutospacing="1" w:after="100" w:afterAutospacing="1"/>
        <w:rPr>
          <w:rFonts w:ascii="CenturyGothic" w:eastAsia="Times New Roman" w:hAnsi="CenturyGothic" w:cs="Times New Roman"/>
          <w:b/>
          <w:bCs/>
          <w:color w:val="339696"/>
          <w:sz w:val="28"/>
          <w:szCs w:val="28"/>
        </w:rPr>
      </w:pPr>
      <w:r w:rsidRPr="00D86949">
        <w:rPr>
          <w:rFonts w:ascii="CenturyGothic" w:eastAsia="Times New Roman" w:hAnsi="CenturyGothic" w:cs="Times New Roman"/>
          <w:b/>
          <w:bCs/>
          <w:color w:val="339696"/>
          <w:sz w:val="28"/>
          <w:szCs w:val="28"/>
        </w:rPr>
        <w:t xml:space="preserve"> </w:t>
      </w:r>
      <w:r>
        <w:rPr>
          <w:rFonts w:ascii="CenturyGothic" w:eastAsia="Times New Roman" w:hAnsi="CenturyGothic" w:cs="Times New Roman"/>
          <w:b/>
          <w:bCs/>
          <w:color w:val="339696"/>
          <w:sz w:val="28"/>
          <w:szCs w:val="28"/>
        </w:rPr>
        <w:t xml:space="preserve">Discharging </w:t>
      </w:r>
      <w:r w:rsidRPr="00D86949">
        <w:rPr>
          <w:rFonts w:ascii="CenturyGothic" w:eastAsia="Times New Roman" w:hAnsi="CenturyGothic" w:cs="Times New Roman"/>
          <w:b/>
          <w:bCs/>
          <w:color w:val="339696"/>
          <w:sz w:val="28"/>
          <w:szCs w:val="28"/>
        </w:rPr>
        <w:t xml:space="preserve">a </w:t>
      </w:r>
      <w:r>
        <w:rPr>
          <w:rFonts w:ascii="CenturyGothic" w:eastAsia="Times New Roman" w:hAnsi="CenturyGothic" w:cs="Times New Roman"/>
          <w:b/>
          <w:bCs/>
          <w:color w:val="339696"/>
          <w:sz w:val="28"/>
          <w:szCs w:val="28"/>
        </w:rPr>
        <w:t xml:space="preserve">patient </w:t>
      </w:r>
      <w:r w:rsidR="009D3AC1">
        <w:rPr>
          <w:rFonts w:ascii="CenturyGothic" w:eastAsia="Times New Roman" w:hAnsi="CenturyGothic" w:cs="Times New Roman"/>
          <w:b/>
          <w:bCs/>
          <w:color w:val="339696"/>
          <w:sz w:val="28"/>
          <w:szCs w:val="28"/>
        </w:rPr>
        <w:t xml:space="preserve">from a hospital </w:t>
      </w:r>
      <w:r>
        <w:rPr>
          <w:rFonts w:ascii="CenturyGothic" w:eastAsia="Times New Roman" w:hAnsi="CenturyGothic" w:cs="Times New Roman"/>
          <w:b/>
          <w:bCs/>
          <w:color w:val="339696"/>
          <w:sz w:val="28"/>
          <w:szCs w:val="28"/>
        </w:rPr>
        <w:t>to a LTCF</w:t>
      </w:r>
    </w:p>
    <w:p w14:paraId="41931143" w14:textId="210AE482" w:rsidR="00E73912" w:rsidRPr="009D3AC1" w:rsidRDefault="00E73912" w:rsidP="00E73912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CenturyGothic" w:eastAsia="Times New Roman" w:hAnsi="CenturyGothic" w:cs="Times New Roman"/>
          <w:bCs/>
          <w:color w:val="339696"/>
          <w:sz w:val="28"/>
          <w:szCs w:val="28"/>
        </w:rPr>
      </w:pPr>
      <w:r>
        <w:rPr>
          <w:rFonts w:ascii="Calibri" w:eastAsia="Times New Roman" w:hAnsi="Calibri" w:cs="Calibri"/>
          <w:sz w:val="22"/>
          <w:szCs w:val="22"/>
        </w:rPr>
        <w:t>A single COVID-19 test should be performed prior to discharge of a patient to a LTCF</w:t>
      </w:r>
      <w:r w:rsidR="00AC27F0">
        <w:rPr>
          <w:rFonts w:ascii="Calibri" w:eastAsia="Times New Roman" w:hAnsi="Calibri" w:cs="Calibri"/>
          <w:sz w:val="22"/>
          <w:szCs w:val="22"/>
        </w:rPr>
        <w:t xml:space="preserve"> to allow for appropriate placement and </w:t>
      </w:r>
      <w:r w:rsidR="00875EE8">
        <w:rPr>
          <w:rFonts w:ascii="Calibri" w:eastAsia="Times New Roman" w:hAnsi="Calibri" w:cs="Calibri"/>
          <w:sz w:val="22"/>
          <w:szCs w:val="22"/>
        </w:rPr>
        <w:t xml:space="preserve">implementation </w:t>
      </w:r>
      <w:r w:rsidR="00AC27F0">
        <w:rPr>
          <w:rFonts w:ascii="Calibri" w:eastAsia="Times New Roman" w:hAnsi="Calibri" w:cs="Calibri"/>
          <w:sz w:val="22"/>
          <w:szCs w:val="22"/>
        </w:rPr>
        <w:t>of precautions for infected patients within the LTCF.</w:t>
      </w:r>
    </w:p>
    <w:p w14:paraId="420A1659" w14:textId="11BC24C3" w:rsidR="009D3AC1" w:rsidRPr="009D3AC1" w:rsidRDefault="009D3AC1" w:rsidP="00141568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CenturyGothic" w:eastAsia="Times New Roman" w:hAnsi="CenturyGothic" w:cs="Times New Roman"/>
          <w:bCs/>
          <w:color w:val="339696"/>
          <w:sz w:val="28"/>
          <w:szCs w:val="28"/>
        </w:rPr>
      </w:pPr>
      <w:r w:rsidRPr="009D3AC1">
        <w:rPr>
          <w:rFonts w:ascii="Calibri" w:eastAsia="Times New Roman" w:hAnsi="Calibri" w:cs="Calibri"/>
          <w:sz w:val="22"/>
          <w:szCs w:val="22"/>
        </w:rPr>
        <w:t xml:space="preserve">Multiple tests are discouraged as they </w:t>
      </w:r>
      <w:r>
        <w:rPr>
          <w:rFonts w:ascii="Calibri" w:eastAsia="Times New Roman" w:hAnsi="Calibri" w:cs="Calibri"/>
          <w:sz w:val="22"/>
          <w:szCs w:val="22"/>
        </w:rPr>
        <w:t>do not provide further actionable information,</w:t>
      </w:r>
      <w:r w:rsidRPr="009D3AC1">
        <w:rPr>
          <w:rFonts w:ascii="Calibri" w:eastAsia="Times New Roman" w:hAnsi="Calibri" w:cs="Calibri"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 xml:space="preserve">including </w:t>
      </w:r>
      <w:r w:rsidR="00875EE8">
        <w:rPr>
          <w:rFonts w:ascii="Calibri" w:eastAsia="Times New Roman" w:hAnsi="Calibri" w:cs="Calibri"/>
          <w:sz w:val="22"/>
          <w:szCs w:val="22"/>
        </w:rPr>
        <w:t xml:space="preserve">exclusion of </w:t>
      </w:r>
      <w:r>
        <w:rPr>
          <w:rFonts w:ascii="Calibri" w:eastAsia="Times New Roman" w:hAnsi="Calibri" w:cs="Calibri"/>
          <w:sz w:val="22"/>
          <w:szCs w:val="22"/>
        </w:rPr>
        <w:t xml:space="preserve">potential </w:t>
      </w:r>
      <w:r w:rsidRPr="009D3AC1">
        <w:rPr>
          <w:rFonts w:ascii="Calibri" w:eastAsia="Times New Roman" w:hAnsi="Calibri" w:cs="Calibri"/>
          <w:sz w:val="22"/>
          <w:szCs w:val="22"/>
        </w:rPr>
        <w:t xml:space="preserve">early incubating infection </w:t>
      </w:r>
    </w:p>
    <w:p w14:paraId="18083A76" w14:textId="52D41680" w:rsidR="00032FFA" w:rsidRPr="009D3AC1" w:rsidRDefault="00032FFA" w:rsidP="00141568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CenturyGothic" w:eastAsia="Times New Roman" w:hAnsi="CenturyGothic" w:cs="Times New Roman"/>
          <w:bCs/>
          <w:color w:val="339696"/>
          <w:sz w:val="28"/>
          <w:szCs w:val="28"/>
        </w:rPr>
      </w:pPr>
      <w:r w:rsidRPr="009D3AC1">
        <w:rPr>
          <w:rFonts w:ascii="Calibri" w:eastAsia="Times New Roman" w:hAnsi="Calibri" w:cs="Calibri"/>
          <w:sz w:val="22"/>
          <w:szCs w:val="22"/>
        </w:rPr>
        <w:t xml:space="preserve">Isolation </w:t>
      </w:r>
      <w:r w:rsidR="00875EE8">
        <w:rPr>
          <w:rFonts w:ascii="Calibri" w:eastAsia="Times New Roman" w:hAnsi="Calibri" w:cs="Calibri"/>
          <w:sz w:val="22"/>
          <w:szCs w:val="22"/>
        </w:rPr>
        <w:t xml:space="preserve">precautions </w:t>
      </w:r>
      <w:r w:rsidRPr="009D3AC1">
        <w:rPr>
          <w:rFonts w:ascii="Calibri" w:eastAsia="Times New Roman" w:hAnsi="Calibri" w:cs="Calibri"/>
          <w:sz w:val="22"/>
          <w:szCs w:val="22"/>
        </w:rPr>
        <w:t xml:space="preserve">while </w:t>
      </w:r>
      <w:r w:rsidR="00875EE8">
        <w:rPr>
          <w:rFonts w:ascii="Calibri" w:eastAsia="Times New Roman" w:hAnsi="Calibri" w:cs="Calibri"/>
          <w:sz w:val="22"/>
          <w:szCs w:val="22"/>
        </w:rPr>
        <w:t xml:space="preserve">awaiting </w:t>
      </w:r>
      <w:r w:rsidRPr="009D3AC1">
        <w:rPr>
          <w:rFonts w:ascii="Calibri" w:eastAsia="Times New Roman" w:hAnsi="Calibri" w:cs="Calibri"/>
          <w:sz w:val="22"/>
          <w:szCs w:val="22"/>
        </w:rPr>
        <w:t>testing</w:t>
      </w:r>
      <w:r w:rsidR="00875EE8">
        <w:rPr>
          <w:rFonts w:ascii="Calibri" w:eastAsia="Times New Roman" w:hAnsi="Calibri" w:cs="Calibri"/>
          <w:sz w:val="22"/>
          <w:szCs w:val="22"/>
        </w:rPr>
        <w:t xml:space="preserve"> results</w:t>
      </w:r>
      <w:r w:rsidRPr="009D3AC1">
        <w:rPr>
          <w:rFonts w:ascii="Calibri" w:eastAsia="Times New Roman" w:hAnsi="Calibri" w:cs="Calibri"/>
          <w:sz w:val="22"/>
          <w:szCs w:val="22"/>
        </w:rPr>
        <w:t xml:space="preserve"> for LTCF placement </w:t>
      </w:r>
      <w:r w:rsidR="009D3AC1" w:rsidRPr="009D3AC1">
        <w:rPr>
          <w:rFonts w:ascii="Calibri" w:eastAsia="Times New Roman" w:hAnsi="Calibri" w:cs="Calibri"/>
          <w:sz w:val="22"/>
          <w:szCs w:val="22"/>
        </w:rPr>
        <w:t xml:space="preserve">is not </w:t>
      </w:r>
      <w:r w:rsidR="00875EE8">
        <w:rPr>
          <w:rFonts w:ascii="Calibri" w:eastAsia="Times New Roman" w:hAnsi="Calibri" w:cs="Calibri"/>
          <w:sz w:val="22"/>
          <w:szCs w:val="22"/>
        </w:rPr>
        <w:t>necessary</w:t>
      </w:r>
      <w:bookmarkStart w:id="0" w:name="_GoBack"/>
      <w:bookmarkEnd w:id="0"/>
      <w:r w:rsidR="009D3AC1" w:rsidRPr="009D3AC1">
        <w:rPr>
          <w:rFonts w:ascii="Calibri" w:eastAsia="Times New Roman" w:hAnsi="Calibri" w:cs="Calibri"/>
          <w:sz w:val="22"/>
          <w:szCs w:val="22"/>
        </w:rPr>
        <w:t xml:space="preserve"> unless there is suspicion for infection due to symptoms or</w:t>
      </w:r>
      <w:r w:rsidR="009D3AC1">
        <w:rPr>
          <w:rFonts w:ascii="Calibri" w:eastAsia="Times New Roman" w:hAnsi="Calibri" w:cs="Calibri"/>
          <w:sz w:val="22"/>
          <w:szCs w:val="22"/>
        </w:rPr>
        <w:t xml:space="preserve"> recent</w:t>
      </w:r>
      <w:r w:rsidR="009D3AC1" w:rsidRPr="009D3AC1">
        <w:rPr>
          <w:rFonts w:ascii="Calibri" w:eastAsia="Times New Roman" w:hAnsi="Calibri" w:cs="Calibri"/>
          <w:sz w:val="22"/>
          <w:szCs w:val="22"/>
        </w:rPr>
        <w:t xml:space="preserve"> high risk exposure.</w:t>
      </w:r>
    </w:p>
    <w:p w14:paraId="0EB78A73" w14:textId="77777777" w:rsidR="00D86949" w:rsidRPr="00D86949" w:rsidRDefault="00D86949" w:rsidP="00D8694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86949">
        <w:rPr>
          <w:rFonts w:ascii="CenturyGothic" w:eastAsia="Times New Roman" w:hAnsi="CenturyGothic" w:cs="Times New Roman"/>
          <w:b/>
          <w:bCs/>
          <w:color w:val="339696"/>
          <w:sz w:val="28"/>
          <w:szCs w:val="28"/>
        </w:rPr>
        <w:t xml:space="preserve">Accepting a Resident Who Was Diagnosed with COVID-19 from a Hospital </w:t>
      </w:r>
    </w:p>
    <w:p w14:paraId="32471F7E" w14:textId="77777777" w:rsidR="00D86949" w:rsidRPr="00D86949" w:rsidRDefault="00D86949" w:rsidP="00D8694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86949">
        <w:rPr>
          <w:rFonts w:ascii="Calibri" w:eastAsia="Times New Roman" w:hAnsi="Calibri" w:cs="Calibri"/>
          <w:sz w:val="22"/>
          <w:szCs w:val="22"/>
        </w:rPr>
        <w:t xml:space="preserve">Long-term care facilities should admit residents with COVID-19 who are no longer acutely ill back to their long- term care residence. The decision to admit should be based on clinical care needs rather than the need for transmission-based precautions. Information on implementing appropriate transmission-based precautions is provided below. </w:t>
      </w:r>
    </w:p>
    <w:p w14:paraId="6D8FE3B6" w14:textId="77777777" w:rsidR="00D86949" w:rsidRPr="00D86949" w:rsidRDefault="00D86949" w:rsidP="00D8694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86949">
        <w:rPr>
          <w:rFonts w:ascii="CenturyGothic" w:eastAsia="Times New Roman" w:hAnsi="CenturyGothic" w:cs="Times New Roman"/>
          <w:b/>
          <w:bCs/>
          <w:color w:val="339696"/>
          <w:sz w:val="28"/>
          <w:szCs w:val="28"/>
        </w:rPr>
        <w:t xml:space="preserve">Summary of Recommendations for Residents Returning from an Acute Care Hospital </w:t>
      </w:r>
    </w:p>
    <w:p w14:paraId="441FAD23" w14:textId="77777777" w:rsidR="00D86949" w:rsidRPr="00D86949" w:rsidRDefault="00D86949" w:rsidP="00D8694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86949">
        <w:rPr>
          <w:rFonts w:ascii="Calibri" w:eastAsia="Times New Roman" w:hAnsi="Calibri" w:cs="Calibri"/>
          <w:b/>
          <w:bCs/>
          <w:sz w:val="22"/>
          <w:szCs w:val="22"/>
        </w:rPr>
        <w:lastRenderedPageBreak/>
        <w:t xml:space="preserve">Residents with COVID-19 still under transmission-based precautions or residents with suspected COVID-19 </w:t>
      </w:r>
    </w:p>
    <w:p w14:paraId="0E41E079" w14:textId="77777777" w:rsidR="00D86949" w:rsidRPr="00D86949" w:rsidRDefault="00D86949" w:rsidP="00D8694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86949">
        <w:rPr>
          <w:rFonts w:ascii="Calibri" w:eastAsia="Times New Roman" w:hAnsi="Calibri" w:cs="Calibri"/>
          <w:sz w:val="22"/>
          <w:szCs w:val="22"/>
        </w:rPr>
        <w:t>Definition: ≤7 days since onset AND ≤72 hours since resolution of fever without antipyretics and symptoms improving.</w:t>
      </w:r>
      <w:r w:rsidRPr="00D86949">
        <w:rPr>
          <w:rFonts w:ascii="Calibri" w:eastAsia="Times New Roman" w:hAnsi="Calibri" w:cs="Calibri"/>
          <w:sz w:val="22"/>
          <w:szCs w:val="22"/>
        </w:rPr>
        <w:br/>
        <w:t>Place in a (non-airborne) isolation room with door closed, if possible.</w:t>
      </w:r>
      <w:r w:rsidRPr="00D86949">
        <w:rPr>
          <w:rFonts w:ascii="Calibri" w:eastAsia="Times New Roman" w:hAnsi="Calibri" w:cs="Calibri"/>
          <w:sz w:val="22"/>
          <w:szCs w:val="22"/>
        </w:rPr>
        <w:br/>
      </w:r>
      <w:r w:rsidRPr="00D86949">
        <w:rPr>
          <w:rFonts w:ascii="CourierNewPSMT" w:eastAsia="Times New Roman" w:hAnsi="CourierNewPSMT" w:cs="Times New Roman"/>
          <w:sz w:val="22"/>
          <w:szCs w:val="22"/>
        </w:rPr>
        <w:t xml:space="preserve">o </w:t>
      </w:r>
      <w:r w:rsidRPr="00D86949">
        <w:rPr>
          <w:rFonts w:ascii="Calibri" w:eastAsia="Times New Roman" w:hAnsi="Calibri" w:cs="Calibri"/>
          <w:sz w:val="22"/>
          <w:szCs w:val="22"/>
        </w:rPr>
        <w:t xml:space="preserve">Airborne isolation is only necessary for aerosol producing procedures, NOT for routine care. </w:t>
      </w:r>
    </w:p>
    <w:p w14:paraId="104D43BF" w14:textId="77777777" w:rsidR="00D86949" w:rsidRPr="00D86949" w:rsidRDefault="00D86949" w:rsidP="00D8694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86949">
        <w:rPr>
          <w:rFonts w:ascii="CourierNewPSMT" w:eastAsia="Times New Roman" w:hAnsi="CourierNewPSMT" w:cs="Times New Roman"/>
          <w:sz w:val="22"/>
          <w:szCs w:val="22"/>
        </w:rPr>
        <w:t xml:space="preserve">o </w:t>
      </w:r>
      <w:r w:rsidRPr="00D86949">
        <w:rPr>
          <w:rFonts w:ascii="Calibri" w:eastAsia="Times New Roman" w:hAnsi="Calibri" w:cs="Calibri"/>
          <w:sz w:val="22"/>
          <w:szCs w:val="22"/>
        </w:rPr>
        <w:t xml:space="preserve">Symptomatic residents should wear a facemask (if tolerated) and be separated from others (e.g., kept in their single occupancy room with the door closed, if possible). </w:t>
      </w:r>
    </w:p>
    <w:p w14:paraId="7F2CBC4B" w14:textId="77777777" w:rsidR="00D86949" w:rsidRPr="00D86949" w:rsidRDefault="00D86949" w:rsidP="00D8694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86949">
        <w:rPr>
          <w:rFonts w:ascii="CourierNewPSMT" w:eastAsia="Times New Roman" w:hAnsi="CourierNewPSMT" w:cs="Times New Roman"/>
          <w:sz w:val="22"/>
          <w:szCs w:val="22"/>
        </w:rPr>
        <w:t xml:space="preserve">o </w:t>
      </w:r>
      <w:r w:rsidRPr="00D86949">
        <w:rPr>
          <w:rFonts w:ascii="Calibri" w:eastAsia="Times New Roman" w:hAnsi="Calibri" w:cs="Calibri"/>
          <w:sz w:val="22"/>
          <w:szCs w:val="22"/>
        </w:rPr>
        <w:t xml:space="preserve">If they leave the room (only when absolutely necessary), residents should wear a facemask (if tolerated) or use tissues to cover their mouth and nose. </w:t>
      </w:r>
    </w:p>
    <w:p w14:paraId="72407524" w14:textId="77777777" w:rsidR="00D86949" w:rsidRPr="00D86949" w:rsidRDefault="00D86949" w:rsidP="00D8694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86949">
        <w:rPr>
          <w:rFonts w:ascii="CourierNewPSMT" w:eastAsia="Times New Roman" w:hAnsi="CourierNewPSMT" w:cs="Times New Roman"/>
          <w:sz w:val="22"/>
          <w:szCs w:val="22"/>
        </w:rPr>
        <w:t xml:space="preserve">o </w:t>
      </w:r>
      <w:r w:rsidRPr="00D86949">
        <w:rPr>
          <w:rFonts w:ascii="Calibri" w:eastAsia="Times New Roman" w:hAnsi="Calibri" w:cs="Calibri"/>
          <w:sz w:val="22"/>
          <w:szCs w:val="22"/>
        </w:rPr>
        <w:t xml:space="preserve">If a separate isolation room is not available, the patient can be </w:t>
      </w:r>
      <w:proofErr w:type="spellStart"/>
      <w:r w:rsidRPr="00D86949">
        <w:rPr>
          <w:rFonts w:ascii="Calibri" w:eastAsia="Times New Roman" w:hAnsi="Calibri" w:cs="Calibri"/>
          <w:sz w:val="22"/>
          <w:szCs w:val="22"/>
        </w:rPr>
        <w:t>cohorted</w:t>
      </w:r>
      <w:proofErr w:type="spellEnd"/>
      <w:r w:rsidRPr="00D86949">
        <w:rPr>
          <w:rFonts w:ascii="Calibri" w:eastAsia="Times New Roman" w:hAnsi="Calibri" w:cs="Calibri"/>
          <w:sz w:val="22"/>
          <w:szCs w:val="22"/>
        </w:rPr>
        <w:t xml:space="preserve"> with </w:t>
      </w:r>
      <w:proofErr w:type="gramStart"/>
      <w:r w:rsidRPr="00D86949">
        <w:rPr>
          <w:rFonts w:ascii="Calibri" w:eastAsia="Times New Roman" w:hAnsi="Calibri" w:cs="Calibri"/>
          <w:sz w:val="22"/>
          <w:szCs w:val="22"/>
        </w:rPr>
        <w:t>other</w:t>
      </w:r>
      <w:proofErr w:type="gramEnd"/>
      <w:r w:rsidRPr="00D86949">
        <w:rPr>
          <w:rFonts w:ascii="Calibri" w:eastAsia="Times New Roman" w:hAnsi="Calibri" w:cs="Calibri"/>
          <w:sz w:val="22"/>
          <w:szCs w:val="22"/>
        </w:rPr>
        <w:t xml:space="preserve"> resident with confirmed COVID-19. Ideally, should be separated by at least 6 feet from the nearest patient (in all directions). </w:t>
      </w:r>
    </w:p>
    <w:p w14:paraId="2DDAD57F" w14:textId="77777777" w:rsidR="00D86949" w:rsidRPr="00D86949" w:rsidRDefault="00D86949" w:rsidP="00D8694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86949">
        <w:rPr>
          <w:rFonts w:ascii="Calibri" w:eastAsia="Times New Roman" w:hAnsi="Calibri" w:cs="Calibri"/>
          <w:sz w:val="22"/>
          <w:szCs w:val="22"/>
        </w:rPr>
        <w:t>Precautions: standard, contact, droplet</w:t>
      </w:r>
      <w:r w:rsidRPr="00D86949">
        <w:rPr>
          <w:rFonts w:ascii="Calibri" w:eastAsia="Times New Roman" w:hAnsi="Calibri" w:cs="Calibri"/>
          <w:sz w:val="22"/>
          <w:szCs w:val="22"/>
        </w:rPr>
        <w:br/>
        <w:t xml:space="preserve">Staff PPE: gown, gloves, facemask, and eye protection (i.e., goggles or face shield). If PPE supplies are limited, contact local health jurisdiction to submit a PPE request: </w:t>
      </w:r>
      <w:r w:rsidRPr="00D86949">
        <w:rPr>
          <w:rFonts w:ascii="Calibri" w:eastAsia="Times New Roman" w:hAnsi="Calibri" w:cs="Calibri"/>
          <w:color w:val="0000FF"/>
          <w:sz w:val="22"/>
          <w:szCs w:val="22"/>
        </w:rPr>
        <w:t xml:space="preserve">https://www.doh.wa.gov/AboutUs/PublicHealthSystem/LocalHealthJurisdictions </w:t>
      </w:r>
    </w:p>
    <w:p w14:paraId="3F3D46DF" w14:textId="77777777" w:rsidR="00D86949" w:rsidRPr="00D86949" w:rsidRDefault="00D86949" w:rsidP="00D8694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86949">
        <w:rPr>
          <w:rFonts w:ascii="Calibri" w:eastAsia="Times New Roman" w:hAnsi="Calibri" w:cs="Calibri"/>
          <w:b/>
          <w:bCs/>
          <w:sz w:val="22"/>
          <w:szCs w:val="22"/>
        </w:rPr>
        <w:t xml:space="preserve">COVID-19 cases post-release from transmission-based precautions </w:t>
      </w:r>
    </w:p>
    <w:p w14:paraId="2CD4BBC5" w14:textId="77777777" w:rsidR="00D86949" w:rsidRPr="00D86949" w:rsidRDefault="00D86949" w:rsidP="00D86949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86949">
        <w:rPr>
          <w:rFonts w:ascii="SymbolMT" w:eastAsia="Times New Roman" w:hAnsi="SymbolMT" w:cs="Times New Roman"/>
          <w:sz w:val="22"/>
          <w:szCs w:val="22"/>
        </w:rPr>
        <w:sym w:font="Symbol" w:char="F0B7"/>
      </w:r>
      <w:r w:rsidRPr="00D86949">
        <w:rPr>
          <w:rFonts w:ascii="SymbolMT" w:eastAsia="Times New Roman" w:hAnsi="SymbolMT" w:cs="Times New Roman"/>
          <w:sz w:val="22"/>
          <w:szCs w:val="22"/>
        </w:rPr>
        <w:t xml:space="preserve">  </w:t>
      </w:r>
      <w:r w:rsidRPr="00D86949">
        <w:rPr>
          <w:rFonts w:ascii="Calibri" w:eastAsia="Times New Roman" w:hAnsi="Calibri" w:cs="Calibri"/>
          <w:sz w:val="22"/>
          <w:szCs w:val="22"/>
        </w:rPr>
        <w:t xml:space="preserve">The decision to discontinue transmission-based precautions should be made using a test-based strategy or a non-test-based strategy (i.e., time-since-illness-onset and time-since-recovery strategy). </w:t>
      </w:r>
    </w:p>
    <w:p w14:paraId="78343779" w14:textId="77777777" w:rsidR="00D86949" w:rsidRPr="00D86949" w:rsidRDefault="00D86949" w:rsidP="00D86949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86949">
        <w:rPr>
          <w:rFonts w:ascii="SymbolMT" w:eastAsia="Times New Roman" w:hAnsi="SymbolMT" w:cs="Times New Roman"/>
          <w:sz w:val="22"/>
          <w:szCs w:val="22"/>
        </w:rPr>
        <w:sym w:font="Symbol" w:char="F0B7"/>
      </w:r>
      <w:r w:rsidRPr="00D86949">
        <w:rPr>
          <w:rFonts w:ascii="SymbolMT" w:eastAsia="Times New Roman" w:hAnsi="SymbolMT" w:cs="Times New Roman"/>
          <w:sz w:val="22"/>
          <w:szCs w:val="22"/>
        </w:rPr>
        <w:t xml:space="preserve">  </w:t>
      </w:r>
      <w:r w:rsidRPr="00D86949">
        <w:rPr>
          <w:rFonts w:ascii="Calibri" w:eastAsia="Times New Roman" w:hAnsi="Calibri" w:cs="Calibri"/>
          <w:b/>
          <w:bCs/>
          <w:sz w:val="22"/>
          <w:szCs w:val="22"/>
        </w:rPr>
        <w:t>Non-test-based strategy</w:t>
      </w:r>
      <w:r w:rsidRPr="00D86949">
        <w:rPr>
          <w:rFonts w:ascii="Calibri" w:eastAsia="Times New Roman" w:hAnsi="Calibri" w:cs="Calibri"/>
          <w:sz w:val="22"/>
          <w:szCs w:val="22"/>
        </w:rPr>
        <w:t xml:space="preserve">: &gt;7 days since onset AND &gt;72 hours since symptoms resolved. </w:t>
      </w:r>
    </w:p>
    <w:p w14:paraId="06412508" w14:textId="77777777" w:rsidR="00D86949" w:rsidRPr="00D86949" w:rsidRDefault="00D86949" w:rsidP="00D86949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86949">
        <w:rPr>
          <w:rFonts w:ascii="SymbolMT" w:eastAsia="Times New Roman" w:hAnsi="SymbolMT" w:cs="Times New Roman"/>
          <w:sz w:val="22"/>
          <w:szCs w:val="22"/>
        </w:rPr>
        <w:sym w:font="Symbol" w:char="F0B7"/>
      </w:r>
      <w:r w:rsidRPr="00D86949">
        <w:rPr>
          <w:rFonts w:ascii="SymbolMT" w:eastAsia="Times New Roman" w:hAnsi="SymbolMT" w:cs="Times New Roman"/>
          <w:sz w:val="22"/>
          <w:szCs w:val="22"/>
        </w:rPr>
        <w:t xml:space="preserve">  </w:t>
      </w:r>
      <w:r w:rsidRPr="00D86949">
        <w:rPr>
          <w:rFonts w:ascii="Calibri" w:eastAsia="Times New Roman" w:hAnsi="Calibri" w:cs="Calibri"/>
          <w:b/>
          <w:bCs/>
          <w:sz w:val="22"/>
          <w:szCs w:val="22"/>
        </w:rPr>
        <w:t>Test-based strategy:</w:t>
      </w:r>
      <w:r w:rsidRPr="00D86949">
        <w:rPr>
          <w:rFonts w:ascii="Calibri" w:eastAsia="Times New Roman" w:hAnsi="Calibri" w:cs="Calibri"/>
          <w:b/>
          <w:bCs/>
          <w:sz w:val="22"/>
          <w:szCs w:val="22"/>
        </w:rPr>
        <w:br/>
      </w:r>
      <w:r w:rsidRPr="00D86949">
        <w:rPr>
          <w:rFonts w:ascii="CourierNewPSMT" w:eastAsia="Times New Roman" w:hAnsi="CourierNewPSMT" w:cs="Times New Roman"/>
          <w:sz w:val="22"/>
          <w:szCs w:val="22"/>
        </w:rPr>
        <w:t xml:space="preserve">o </w:t>
      </w:r>
      <w:r w:rsidRPr="00D86949">
        <w:rPr>
          <w:rFonts w:ascii="Calibri" w:eastAsia="Times New Roman" w:hAnsi="Calibri" w:cs="Calibri"/>
          <w:sz w:val="22"/>
          <w:szCs w:val="22"/>
        </w:rPr>
        <w:t xml:space="preserve">Resolution of fever without the use of fever-reducing medications </w:t>
      </w:r>
      <w:r w:rsidRPr="00D86949">
        <w:rPr>
          <w:rFonts w:ascii="Calibri" w:eastAsia="Times New Roman" w:hAnsi="Calibri" w:cs="Calibri"/>
          <w:i/>
          <w:iCs/>
          <w:sz w:val="22"/>
          <w:szCs w:val="22"/>
        </w:rPr>
        <w:t>and</w:t>
      </w:r>
      <w:r w:rsidRPr="00D86949">
        <w:rPr>
          <w:rFonts w:ascii="Calibri" w:eastAsia="Times New Roman" w:hAnsi="Calibri" w:cs="Calibri"/>
          <w:i/>
          <w:iCs/>
          <w:sz w:val="22"/>
          <w:szCs w:val="22"/>
        </w:rPr>
        <w:br/>
      </w:r>
      <w:r w:rsidRPr="00D86949">
        <w:rPr>
          <w:rFonts w:ascii="CourierNewPSMT" w:eastAsia="Times New Roman" w:hAnsi="CourierNewPSMT" w:cs="Times New Roman"/>
          <w:sz w:val="22"/>
          <w:szCs w:val="22"/>
        </w:rPr>
        <w:t xml:space="preserve">o </w:t>
      </w:r>
      <w:r w:rsidRPr="00D86949">
        <w:rPr>
          <w:rFonts w:ascii="Calibri" w:eastAsia="Times New Roman" w:hAnsi="Calibri" w:cs="Calibri"/>
          <w:sz w:val="22"/>
          <w:szCs w:val="22"/>
        </w:rPr>
        <w:t xml:space="preserve">Improvement in respiratory symptoms (e.g., cough, shortness of breath), </w:t>
      </w:r>
      <w:r w:rsidRPr="00D86949">
        <w:rPr>
          <w:rFonts w:ascii="Calibri" w:eastAsia="Times New Roman" w:hAnsi="Calibri" w:cs="Calibri"/>
          <w:i/>
          <w:iCs/>
          <w:sz w:val="22"/>
          <w:szCs w:val="22"/>
        </w:rPr>
        <w:t>and</w:t>
      </w:r>
      <w:r w:rsidRPr="00D86949">
        <w:rPr>
          <w:rFonts w:ascii="Calibri" w:eastAsia="Times New Roman" w:hAnsi="Calibri" w:cs="Calibri"/>
          <w:i/>
          <w:iCs/>
          <w:sz w:val="22"/>
          <w:szCs w:val="22"/>
        </w:rPr>
        <w:br/>
      </w:r>
      <w:r w:rsidRPr="00D86949">
        <w:rPr>
          <w:rFonts w:ascii="CourierNewPSMT" w:eastAsia="Times New Roman" w:hAnsi="CourierNewPSMT" w:cs="Times New Roman"/>
          <w:sz w:val="22"/>
          <w:szCs w:val="22"/>
        </w:rPr>
        <w:t xml:space="preserve">o </w:t>
      </w:r>
      <w:r w:rsidRPr="00D86949">
        <w:rPr>
          <w:rFonts w:ascii="Calibri" w:eastAsia="Times New Roman" w:hAnsi="Calibri" w:cs="Calibri"/>
          <w:sz w:val="22"/>
          <w:szCs w:val="22"/>
        </w:rPr>
        <w:t xml:space="preserve">Two negative COVID-19 nasopharyngeal swab specimens collected ≥24 hours apart (total of two negative </w:t>
      </w:r>
    </w:p>
    <w:p w14:paraId="0C3651FE" w14:textId="77777777" w:rsidR="00D86949" w:rsidRPr="00D86949" w:rsidRDefault="00D86949" w:rsidP="00D86949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D86949">
        <w:rPr>
          <w:rFonts w:ascii="Calibri" w:eastAsia="Times New Roman" w:hAnsi="Calibri" w:cs="Calibri"/>
          <w:sz w:val="22"/>
          <w:szCs w:val="22"/>
        </w:rPr>
        <w:t xml:space="preserve">specimens) </w:t>
      </w:r>
    </w:p>
    <w:p w14:paraId="1AF42596" w14:textId="77777777" w:rsidR="00D86949" w:rsidRPr="00D86949" w:rsidRDefault="00D86949" w:rsidP="00D86949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86949">
        <w:rPr>
          <w:rFonts w:ascii="SymbolMT" w:eastAsia="Times New Roman" w:hAnsi="SymbolMT" w:cs="Times New Roman"/>
          <w:sz w:val="22"/>
          <w:szCs w:val="22"/>
        </w:rPr>
        <w:sym w:font="Symbol" w:char="F0B7"/>
      </w:r>
      <w:r w:rsidRPr="00D86949">
        <w:rPr>
          <w:rFonts w:ascii="SymbolMT" w:eastAsia="Times New Roman" w:hAnsi="SymbolMT" w:cs="Times New Roman"/>
          <w:sz w:val="22"/>
          <w:szCs w:val="22"/>
        </w:rPr>
        <w:t xml:space="preserve">  </w:t>
      </w:r>
      <w:r w:rsidRPr="00D86949">
        <w:rPr>
          <w:rFonts w:ascii="Calibri" w:eastAsia="Times New Roman" w:hAnsi="Calibri" w:cs="Calibri"/>
          <w:sz w:val="22"/>
          <w:szCs w:val="22"/>
        </w:rPr>
        <w:t xml:space="preserve">Precautions: standard </w:t>
      </w:r>
    </w:p>
    <w:p w14:paraId="2352BAB2" w14:textId="77777777" w:rsidR="00142A82" w:rsidRDefault="009D3AC1">
      <w:pPr>
        <w:rPr>
          <w:rFonts w:ascii="Calibri" w:eastAsia="Times New Roman" w:hAnsi="Calibri" w:cs="Calibri"/>
          <w:b/>
          <w:bCs/>
          <w:sz w:val="22"/>
          <w:szCs w:val="22"/>
        </w:rPr>
      </w:pPr>
      <w:r w:rsidRPr="00D86949">
        <w:rPr>
          <w:rFonts w:ascii="Calibri" w:eastAsia="Times New Roman" w:hAnsi="Calibri" w:cs="Calibri"/>
          <w:b/>
          <w:bCs/>
          <w:sz w:val="22"/>
          <w:szCs w:val="22"/>
        </w:rPr>
        <w:t>Residents</w:t>
      </w: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 with negative COVID-19 testing prior to discharge from the hospital</w:t>
      </w:r>
    </w:p>
    <w:p w14:paraId="37D0F1EA" w14:textId="77777777" w:rsidR="009D3AC1" w:rsidRDefault="009D3AC1"/>
    <w:p w14:paraId="65DD8123" w14:textId="77777777" w:rsidR="009D3AC1" w:rsidRDefault="009D3AC1" w:rsidP="009D3AC1">
      <w:pPr>
        <w:pStyle w:val="ListParagraph"/>
        <w:numPr>
          <w:ilvl w:val="0"/>
          <w:numId w:val="9"/>
        </w:numPr>
      </w:pPr>
      <w:r>
        <w:t xml:space="preserve">Quarantine in a single occupancy room if possible for 14 days. </w:t>
      </w:r>
    </w:p>
    <w:p w14:paraId="7DB00177" w14:textId="77777777" w:rsidR="009D3AC1" w:rsidRDefault="009D3AC1" w:rsidP="009D3AC1">
      <w:pPr>
        <w:pStyle w:val="ListParagraph"/>
        <w:numPr>
          <w:ilvl w:val="0"/>
          <w:numId w:val="9"/>
        </w:numPr>
      </w:pPr>
      <w:r>
        <w:t>Testing should only be performed if symptoms develop during the quarantine period</w:t>
      </w:r>
    </w:p>
    <w:p w14:paraId="643525B1" w14:textId="77777777" w:rsidR="009D3AC1" w:rsidRDefault="009D3AC1" w:rsidP="009D3AC1">
      <w:pPr>
        <w:pStyle w:val="ListParagraph"/>
        <w:numPr>
          <w:ilvl w:val="0"/>
          <w:numId w:val="9"/>
        </w:numPr>
      </w:pPr>
      <w:r>
        <w:t>Testing can be considered at the end of the 14-day quarantine period to rule out asymptomatic or pre-symptomatic infection.</w:t>
      </w:r>
    </w:p>
    <w:p w14:paraId="65F3F40E" w14:textId="77777777" w:rsidR="009D3AC1" w:rsidRDefault="009D3AC1" w:rsidP="009D3AC1">
      <w:pPr>
        <w:pStyle w:val="ListParagraph"/>
        <w:numPr>
          <w:ilvl w:val="0"/>
          <w:numId w:val="9"/>
        </w:numPr>
      </w:pPr>
      <w:r>
        <w:t>Precautions: Standard</w:t>
      </w:r>
    </w:p>
    <w:p w14:paraId="5AE6A77C" w14:textId="77777777" w:rsidR="009D3AC1" w:rsidRDefault="009D3AC1" w:rsidP="009D3AC1">
      <w:pPr>
        <w:pStyle w:val="NormalWeb"/>
      </w:pPr>
      <w:r>
        <w:rPr>
          <w:rFonts w:ascii="CenturyGothic" w:hAnsi="CenturyGothic"/>
          <w:b/>
          <w:bCs/>
          <w:color w:val="339696"/>
          <w:sz w:val="28"/>
          <w:szCs w:val="28"/>
        </w:rPr>
        <w:lastRenderedPageBreak/>
        <w:t xml:space="preserve">Summary of Recommendations for Long-Term Care Staff </w:t>
      </w:r>
    </w:p>
    <w:p w14:paraId="5DB41730" w14:textId="77777777" w:rsidR="009D3AC1" w:rsidRDefault="005F207E" w:rsidP="009D3AC1">
      <w:pPr>
        <w:pStyle w:val="NormalWeb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All staff in LTCFs should wear masks while working during this pandemic. Medical grade masks are preferred.</w:t>
      </w:r>
    </w:p>
    <w:p w14:paraId="60EA6FCA" w14:textId="77777777" w:rsidR="005F207E" w:rsidRDefault="005F207E" w:rsidP="005F207E">
      <w:pPr>
        <w:pStyle w:val="NormalWeb"/>
        <w:numPr>
          <w:ilvl w:val="1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If supply is limited preferentially provide medical grade masks to staff providing direct clinical care and extend the use of masks as outlined by CDC: </w:t>
      </w:r>
      <w:hyperlink r:id="rId6" w:history="1">
        <w:r w:rsidRPr="001F4DBB">
          <w:rPr>
            <w:rStyle w:val="Hyperlink"/>
            <w:rFonts w:ascii="Calibri" w:hAnsi="Calibri"/>
            <w:sz w:val="22"/>
            <w:szCs w:val="22"/>
          </w:rPr>
          <w:t>https://www.cdc.gov/coronavirus/2019-ncov/hcp/ppe-strategy/index.html</w:t>
        </w:r>
      </w:hyperlink>
      <w:r>
        <w:rPr>
          <w:rFonts w:ascii="Calibri" w:hAnsi="Calibri"/>
          <w:sz w:val="22"/>
          <w:szCs w:val="22"/>
        </w:rPr>
        <w:t xml:space="preserve"> </w:t>
      </w:r>
    </w:p>
    <w:p w14:paraId="1CCF930B" w14:textId="77777777" w:rsidR="005F207E" w:rsidRDefault="005F207E" w:rsidP="005F207E">
      <w:pPr>
        <w:pStyle w:val="NormalWeb"/>
        <w:numPr>
          <w:ilvl w:val="1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When medical grade masks are not available homemade or cloth masks are acceptable.</w:t>
      </w:r>
    </w:p>
    <w:p w14:paraId="6248CDBB" w14:textId="77777777" w:rsidR="005F207E" w:rsidRDefault="005F207E" w:rsidP="005F207E">
      <w:pPr>
        <w:pStyle w:val="NormalWeb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For facilities with confirmed cases and available PPE consider using standard, droplet, contact with eye protection precautions for all direct resident care.  </w:t>
      </w:r>
    </w:p>
    <w:p w14:paraId="1E097CBE" w14:textId="77777777" w:rsidR="009D3AC1" w:rsidRPr="009D3AC1" w:rsidRDefault="009D3AC1" w:rsidP="009D3AC1">
      <w:pPr>
        <w:pStyle w:val="NormalWeb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Healthcare personnel (HCP) that are ill should stay home and notify their supervisor, especially if symptoms are consistent with COVID-19. If symptoms develop at work, HCP should don a mask and go home. </w:t>
      </w:r>
    </w:p>
    <w:p w14:paraId="6D033786" w14:textId="77777777" w:rsidR="009D3AC1" w:rsidRDefault="009D3AC1" w:rsidP="009D3AC1">
      <w:pPr>
        <w:pStyle w:val="NormalWeb"/>
        <w:numPr>
          <w:ilvl w:val="0"/>
          <w:numId w:val="4"/>
        </w:numPr>
      </w:pPr>
      <w:r>
        <w:rPr>
          <w:rFonts w:ascii="Calibri" w:hAnsi="Calibri"/>
          <w:sz w:val="22"/>
          <w:szCs w:val="22"/>
        </w:rPr>
        <w:t xml:space="preserve">Facilities should implement sick leave policies that are non-punitive, flexible, and consistent with public health policies that allow ill HCP to stay home. </w:t>
      </w:r>
    </w:p>
    <w:p w14:paraId="2F75F9DB" w14:textId="77777777" w:rsidR="009D3AC1" w:rsidRDefault="009D3AC1" w:rsidP="009D3AC1">
      <w:pPr>
        <w:pStyle w:val="NormalWeb"/>
        <w:numPr>
          <w:ilvl w:val="0"/>
          <w:numId w:val="4"/>
        </w:numPr>
      </w:pPr>
      <w:r w:rsidRPr="009D3AC1">
        <w:rPr>
          <w:rFonts w:ascii="Calibri" w:hAnsi="Calibri"/>
          <w:sz w:val="22"/>
          <w:szCs w:val="22"/>
        </w:rPr>
        <w:t>Facilities should ensure that staff affirm absence of COVID-19 symptoms (sore throat, cough, fever</w:t>
      </w:r>
      <w:r w:rsidR="005F207E">
        <w:rPr>
          <w:rFonts w:ascii="Calibri" w:hAnsi="Calibri"/>
          <w:sz w:val="22"/>
          <w:szCs w:val="22"/>
        </w:rPr>
        <w:t xml:space="preserve">, shortness of breath, myalgia, anosmia, </w:t>
      </w:r>
      <w:proofErr w:type="spellStart"/>
      <w:r w:rsidR="005F207E">
        <w:rPr>
          <w:rFonts w:ascii="Calibri" w:hAnsi="Calibri"/>
          <w:sz w:val="22"/>
          <w:szCs w:val="22"/>
        </w:rPr>
        <w:t>ageusmia</w:t>
      </w:r>
      <w:proofErr w:type="spellEnd"/>
      <w:r w:rsidRPr="009D3AC1">
        <w:rPr>
          <w:rFonts w:ascii="Calibri" w:hAnsi="Calibri"/>
          <w:sz w:val="22"/>
          <w:szCs w:val="22"/>
        </w:rPr>
        <w:t xml:space="preserve">) upon arrival for each shift. </w:t>
      </w:r>
    </w:p>
    <w:p w14:paraId="5BFF08DE" w14:textId="77777777" w:rsidR="009D3AC1" w:rsidRDefault="009D3AC1" w:rsidP="009D3AC1">
      <w:pPr>
        <w:pStyle w:val="NormalWeb"/>
      </w:pPr>
      <w:r>
        <w:rPr>
          <w:rFonts w:ascii="CenturyGothic" w:hAnsi="CenturyGothic"/>
          <w:b/>
          <w:bCs/>
          <w:color w:val="339696"/>
          <w:sz w:val="28"/>
          <w:szCs w:val="28"/>
        </w:rPr>
        <w:t xml:space="preserve">Summary of Recommendations for Visitors </w:t>
      </w:r>
    </w:p>
    <w:p w14:paraId="62042355" w14:textId="77777777" w:rsidR="009D3AC1" w:rsidRDefault="009D3AC1" w:rsidP="009D3AC1">
      <w:pPr>
        <w:pStyle w:val="NormalWeb"/>
        <w:numPr>
          <w:ilvl w:val="0"/>
          <w:numId w:val="10"/>
        </w:numPr>
      </w:pPr>
      <w:r>
        <w:rPr>
          <w:rFonts w:ascii="SymbolMT" w:hAnsi="SymbolMT"/>
          <w:sz w:val="22"/>
          <w:szCs w:val="22"/>
        </w:rPr>
        <w:sym w:font="Symbol" w:char="F0B7"/>
      </w:r>
      <w:r>
        <w:rPr>
          <w:rFonts w:ascii="SymbolMT" w:hAnsi="SymbolMT"/>
          <w:sz w:val="22"/>
          <w:szCs w:val="22"/>
        </w:rPr>
        <w:t xml:space="preserve">  </w:t>
      </w:r>
      <w:r>
        <w:rPr>
          <w:rFonts w:ascii="Calibri" w:hAnsi="Calibri"/>
          <w:sz w:val="22"/>
          <w:szCs w:val="22"/>
        </w:rPr>
        <w:t xml:space="preserve">Offer alternative methods of visitation (Skype, Face Time, etc.), if available. </w:t>
      </w:r>
    </w:p>
    <w:p w14:paraId="53CC694A" w14:textId="77777777" w:rsidR="009D3AC1" w:rsidRDefault="009D3AC1" w:rsidP="009D3AC1">
      <w:pPr>
        <w:pStyle w:val="NormalWeb"/>
        <w:numPr>
          <w:ilvl w:val="0"/>
          <w:numId w:val="10"/>
        </w:numPr>
      </w:pPr>
      <w:r>
        <w:rPr>
          <w:rFonts w:ascii="SymbolMT" w:hAnsi="SymbolMT"/>
          <w:sz w:val="22"/>
          <w:szCs w:val="22"/>
        </w:rPr>
        <w:sym w:font="Symbol" w:char="F0B7"/>
      </w:r>
      <w:r>
        <w:rPr>
          <w:rFonts w:ascii="SymbolMT" w:hAnsi="SymbolMT"/>
          <w:sz w:val="22"/>
          <w:szCs w:val="22"/>
        </w:rPr>
        <w:t xml:space="preserve">  </w:t>
      </w:r>
      <w:r>
        <w:rPr>
          <w:rFonts w:ascii="Calibri" w:hAnsi="Calibri"/>
          <w:sz w:val="22"/>
          <w:szCs w:val="22"/>
        </w:rPr>
        <w:t xml:space="preserve">Pursuant to Governor Inslee’s proclamations </w:t>
      </w:r>
      <w:r>
        <w:rPr>
          <w:rFonts w:ascii="Calibri" w:hAnsi="Calibri"/>
          <w:color w:val="0000FF"/>
          <w:sz w:val="22"/>
          <w:szCs w:val="22"/>
        </w:rPr>
        <w:t xml:space="preserve">20-16 </w:t>
      </w:r>
      <w:r>
        <w:rPr>
          <w:rFonts w:ascii="Calibri" w:hAnsi="Calibri"/>
          <w:sz w:val="22"/>
          <w:szCs w:val="22"/>
        </w:rPr>
        <w:t xml:space="preserve">and </w:t>
      </w:r>
      <w:r>
        <w:rPr>
          <w:rFonts w:ascii="Calibri" w:hAnsi="Calibri"/>
          <w:color w:val="0000FF"/>
          <w:sz w:val="22"/>
          <w:szCs w:val="22"/>
        </w:rPr>
        <w:t>20-17</w:t>
      </w:r>
      <w:r>
        <w:rPr>
          <w:rFonts w:ascii="Calibri" w:hAnsi="Calibri"/>
          <w:sz w:val="22"/>
          <w:szCs w:val="22"/>
        </w:rPr>
        <w:t xml:space="preserve">, visitors are prohibited in long-term care </w:t>
      </w:r>
      <w:r w:rsidRPr="005F207E">
        <w:rPr>
          <w:rFonts w:ascii="Calibri" w:hAnsi="Calibri"/>
          <w:sz w:val="22"/>
          <w:szCs w:val="22"/>
        </w:rPr>
        <w:t xml:space="preserve">facilities during the COVID-19 outbreak. </w:t>
      </w:r>
    </w:p>
    <w:p w14:paraId="63F02DEC" w14:textId="77777777" w:rsidR="009D3AC1" w:rsidRDefault="009D3AC1" w:rsidP="009D3AC1">
      <w:pPr>
        <w:pStyle w:val="NormalWeb"/>
        <w:numPr>
          <w:ilvl w:val="0"/>
          <w:numId w:val="10"/>
        </w:numPr>
      </w:pPr>
      <w:r>
        <w:rPr>
          <w:rFonts w:ascii="SymbolMT" w:hAnsi="SymbolMT"/>
          <w:sz w:val="18"/>
          <w:szCs w:val="18"/>
        </w:rPr>
        <w:sym w:font="Symbol" w:char="F0B7"/>
      </w:r>
      <w:r>
        <w:rPr>
          <w:rFonts w:ascii="SymbolMT" w:hAnsi="SymbolMT"/>
          <w:sz w:val="18"/>
          <w:szCs w:val="18"/>
        </w:rPr>
        <w:t xml:space="preserve">  </w:t>
      </w:r>
      <w:r>
        <w:rPr>
          <w:rFonts w:ascii="Calibri" w:hAnsi="Calibri"/>
          <w:sz w:val="22"/>
          <w:szCs w:val="22"/>
        </w:rPr>
        <w:t xml:space="preserve">Actively assess all essential people entering the facility for a fever and respiratory symptoms. Do not allow ill </w:t>
      </w:r>
      <w:r w:rsidRPr="005F207E">
        <w:rPr>
          <w:rFonts w:ascii="Calibri" w:hAnsi="Calibri"/>
          <w:sz w:val="22"/>
          <w:szCs w:val="22"/>
        </w:rPr>
        <w:t xml:space="preserve">people to enter the facility. </w:t>
      </w:r>
    </w:p>
    <w:p w14:paraId="101EA21C" w14:textId="77777777" w:rsidR="009D3AC1" w:rsidRDefault="009D3AC1" w:rsidP="009D3AC1">
      <w:pPr>
        <w:pStyle w:val="NormalWeb"/>
        <w:ind w:left="720"/>
      </w:pPr>
      <w:r>
        <w:rPr>
          <w:rFonts w:ascii="CenturyGothic" w:hAnsi="CenturyGothic"/>
          <w:b/>
          <w:bCs/>
          <w:color w:val="339696"/>
          <w:sz w:val="28"/>
          <w:szCs w:val="28"/>
        </w:rPr>
        <w:t xml:space="preserve">Please Read the Following for Direction on COVID-19 Prevention and Control </w:t>
      </w:r>
    </w:p>
    <w:p w14:paraId="023DCAD1" w14:textId="77777777" w:rsidR="009D3AC1" w:rsidRDefault="009D3AC1" w:rsidP="009D3AC1">
      <w:pPr>
        <w:pStyle w:val="NormalWeb"/>
        <w:numPr>
          <w:ilvl w:val="0"/>
          <w:numId w:val="11"/>
        </w:numPr>
      </w:pPr>
      <w:r>
        <w:rPr>
          <w:rFonts w:ascii="SymbolMT" w:hAnsi="SymbolMT"/>
          <w:sz w:val="22"/>
          <w:szCs w:val="22"/>
        </w:rPr>
        <w:sym w:font="Symbol" w:char="F0B7"/>
      </w:r>
      <w:r>
        <w:rPr>
          <w:rFonts w:ascii="SymbolMT" w:hAnsi="SymbolMT"/>
          <w:sz w:val="22"/>
          <w:szCs w:val="22"/>
        </w:rPr>
        <w:t xml:space="preserve">  </w:t>
      </w:r>
      <w:r>
        <w:rPr>
          <w:rFonts w:ascii="Calibri" w:hAnsi="Calibri"/>
          <w:sz w:val="22"/>
          <w:szCs w:val="22"/>
        </w:rPr>
        <w:t xml:space="preserve">Washington State Department of Health (DOH) Call to Action (attached): </w:t>
      </w:r>
      <w:r>
        <w:rPr>
          <w:rFonts w:ascii="Calibri" w:hAnsi="Calibri"/>
          <w:color w:val="0000FF"/>
          <w:sz w:val="22"/>
          <w:szCs w:val="22"/>
        </w:rPr>
        <w:t xml:space="preserve">https://www.doh.wa.gov/Portals/1/Documents/1600/coronavirus/RecommendationsForLTC-COVID19.pdf </w:t>
      </w:r>
    </w:p>
    <w:p w14:paraId="179A61B6" w14:textId="77777777" w:rsidR="009D3AC1" w:rsidRDefault="009D3AC1" w:rsidP="009D3AC1">
      <w:pPr>
        <w:pStyle w:val="NormalWeb"/>
        <w:numPr>
          <w:ilvl w:val="0"/>
          <w:numId w:val="11"/>
        </w:numPr>
      </w:pPr>
      <w:r>
        <w:rPr>
          <w:rFonts w:ascii="SymbolMT" w:hAnsi="SymbolMT"/>
          <w:sz w:val="22"/>
          <w:szCs w:val="22"/>
        </w:rPr>
        <w:sym w:font="Symbol" w:char="F0B7"/>
      </w:r>
      <w:r>
        <w:rPr>
          <w:rFonts w:ascii="SymbolMT" w:hAnsi="SymbolMT"/>
          <w:sz w:val="22"/>
          <w:szCs w:val="22"/>
        </w:rPr>
        <w:t xml:space="preserve">  </w:t>
      </w:r>
      <w:r>
        <w:rPr>
          <w:rFonts w:ascii="Calibri" w:hAnsi="Calibri"/>
          <w:sz w:val="22"/>
          <w:szCs w:val="22"/>
        </w:rPr>
        <w:t xml:space="preserve">DOH Information for Long-Term Care Facilities: </w:t>
      </w:r>
      <w:r>
        <w:rPr>
          <w:rFonts w:ascii="Calibri" w:hAnsi="Calibri"/>
          <w:color w:val="0000FF"/>
          <w:sz w:val="22"/>
          <w:szCs w:val="22"/>
        </w:rPr>
        <w:t xml:space="preserve">https://www.doh.wa.gov/Emergencies/NovelCoronavirusOutbreak2020/LongTermCareFacilities </w:t>
      </w:r>
    </w:p>
    <w:p w14:paraId="18A335EC" w14:textId="77777777" w:rsidR="009D3AC1" w:rsidRDefault="009D3AC1" w:rsidP="009D3AC1">
      <w:pPr>
        <w:pStyle w:val="NormalWeb"/>
        <w:numPr>
          <w:ilvl w:val="0"/>
          <w:numId w:val="11"/>
        </w:numPr>
      </w:pPr>
      <w:r>
        <w:rPr>
          <w:rFonts w:ascii="SymbolMT" w:hAnsi="SymbolMT"/>
          <w:sz w:val="22"/>
          <w:szCs w:val="22"/>
        </w:rPr>
        <w:sym w:font="Symbol" w:char="F0B7"/>
      </w:r>
      <w:r>
        <w:rPr>
          <w:rFonts w:ascii="SymbolMT" w:hAnsi="SymbolMT"/>
          <w:sz w:val="22"/>
          <w:szCs w:val="22"/>
        </w:rPr>
        <w:t xml:space="preserve">  </w:t>
      </w:r>
      <w:r>
        <w:rPr>
          <w:rFonts w:ascii="Calibri" w:hAnsi="Calibri"/>
          <w:sz w:val="22"/>
          <w:szCs w:val="22"/>
        </w:rPr>
        <w:t xml:space="preserve">Centers for Disease Control &amp; Prevention guidelines for long term care facilities at </w:t>
      </w:r>
      <w:r>
        <w:rPr>
          <w:rFonts w:ascii="Calibri" w:hAnsi="Calibri"/>
          <w:color w:val="0000FF"/>
          <w:sz w:val="22"/>
          <w:szCs w:val="22"/>
        </w:rPr>
        <w:t xml:space="preserve">https://www.cdc.gov/coronavirus/2019-ncov/healthcare-facilities/prevent-spread-in-long-term-care- facilities.html </w:t>
      </w:r>
    </w:p>
    <w:p w14:paraId="48586F0F" w14:textId="77777777" w:rsidR="009D3AC1" w:rsidRDefault="009D3AC1" w:rsidP="009D3AC1">
      <w:pPr>
        <w:pStyle w:val="NormalWeb"/>
        <w:numPr>
          <w:ilvl w:val="0"/>
          <w:numId w:val="11"/>
        </w:numPr>
      </w:pPr>
      <w:r>
        <w:rPr>
          <w:rFonts w:ascii="SymbolMT" w:hAnsi="SymbolMT"/>
          <w:sz w:val="22"/>
          <w:szCs w:val="22"/>
        </w:rPr>
        <w:sym w:font="Symbol" w:char="F0B7"/>
      </w:r>
      <w:r>
        <w:rPr>
          <w:rFonts w:ascii="SymbolMT" w:hAnsi="SymbolMT"/>
          <w:sz w:val="22"/>
          <w:szCs w:val="22"/>
        </w:rPr>
        <w:t xml:space="preserve">  </w:t>
      </w:r>
      <w:r>
        <w:rPr>
          <w:rFonts w:ascii="Calibri" w:hAnsi="Calibri"/>
          <w:sz w:val="22"/>
          <w:szCs w:val="22"/>
        </w:rPr>
        <w:t xml:space="preserve">Centers for Medicare and Medicaid (CMS) Guidance for Infection Control and Prevention of COVID-19 in Nursing Homes (3/13/20): </w:t>
      </w:r>
      <w:r>
        <w:rPr>
          <w:rFonts w:ascii="Calibri" w:hAnsi="Calibri"/>
          <w:color w:val="0000FF"/>
          <w:sz w:val="22"/>
          <w:szCs w:val="22"/>
        </w:rPr>
        <w:t xml:space="preserve">https://www.cms.gov/files/document/qso-20-14-nh-revised.pdf </w:t>
      </w:r>
    </w:p>
    <w:p w14:paraId="03A96181" w14:textId="77777777" w:rsidR="009D3AC1" w:rsidRDefault="009D3AC1" w:rsidP="009D3AC1"/>
    <w:sectPr w:rsidR="009D3AC1" w:rsidSect="00CA6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Gothic">
    <w:altName w:val="Cambria"/>
    <w:panose1 w:val="020B0604020202020204"/>
    <w:charset w:val="00"/>
    <w:family w:val="roman"/>
    <w:notTrueType/>
    <w:pitch w:val="default"/>
  </w:font>
  <w:font w:name="CourierNewPSMT">
    <w:altName w:val="Courier New"/>
    <w:panose1 w:val="02070309020205020404"/>
    <w:charset w:val="00"/>
    <w:family w:val="roman"/>
    <w:notTrueType/>
    <w:pitch w:val="default"/>
  </w:font>
  <w:font w:name="SymbolM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6045D"/>
    <w:multiLevelType w:val="multilevel"/>
    <w:tmpl w:val="48F69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F6319B"/>
    <w:multiLevelType w:val="hybridMultilevel"/>
    <w:tmpl w:val="81C025D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261133"/>
    <w:multiLevelType w:val="multilevel"/>
    <w:tmpl w:val="FD9CC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D51107"/>
    <w:multiLevelType w:val="hybridMultilevel"/>
    <w:tmpl w:val="EC609C7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C7714A"/>
    <w:multiLevelType w:val="hybridMultilevel"/>
    <w:tmpl w:val="FA9E090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9F37F9"/>
    <w:multiLevelType w:val="multilevel"/>
    <w:tmpl w:val="0FB60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B31B3A"/>
    <w:multiLevelType w:val="hybridMultilevel"/>
    <w:tmpl w:val="A92C76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639C9"/>
    <w:multiLevelType w:val="hybridMultilevel"/>
    <w:tmpl w:val="45CAE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CE52F8"/>
    <w:multiLevelType w:val="multilevel"/>
    <w:tmpl w:val="707E2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D70F49"/>
    <w:multiLevelType w:val="multilevel"/>
    <w:tmpl w:val="EFC4C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5434B6"/>
    <w:multiLevelType w:val="multilevel"/>
    <w:tmpl w:val="E1726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D03CA0"/>
    <w:multiLevelType w:val="hybridMultilevel"/>
    <w:tmpl w:val="1C0090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9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11"/>
  </w:num>
  <w:num w:numId="10">
    <w:abstractNumId w:val="10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949"/>
    <w:rsid w:val="00032FFA"/>
    <w:rsid w:val="00142A82"/>
    <w:rsid w:val="0058552B"/>
    <w:rsid w:val="005F207E"/>
    <w:rsid w:val="00875EE8"/>
    <w:rsid w:val="009D3AC1"/>
    <w:rsid w:val="00AC27F0"/>
    <w:rsid w:val="00CA6F82"/>
    <w:rsid w:val="00D86949"/>
    <w:rsid w:val="00E16936"/>
    <w:rsid w:val="00E7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7A4B9"/>
  <w15:chartTrackingRefBased/>
  <w15:docId w15:val="{86ADFDE6-83AE-A84B-B089-57095920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694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869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869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552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85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1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0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7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83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9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8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76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3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0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1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79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0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88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0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5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6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1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3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4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50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3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25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1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5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9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46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69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6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7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4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6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c.gov/coronavirus/2019-ncov/hcp/ppe-strategy/index.html" TargetMode="External"/><Relationship Id="rId5" Type="http://schemas.openxmlformats.org/officeDocument/2006/relationships/hyperlink" Target="https://www.dshs.wa.gov/sites/default/files/ALTSA/rcs/documents/nh/020-01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Lewis</dc:creator>
  <cp:keywords/>
  <dc:description/>
  <cp:lastModifiedBy>James Lewis</cp:lastModifiedBy>
  <cp:revision>2</cp:revision>
  <dcterms:created xsi:type="dcterms:W3CDTF">2020-04-14T17:38:00Z</dcterms:created>
  <dcterms:modified xsi:type="dcterms:W3CDTF">2020-04-15T01:54:00Z</dcterms:modified>
</cp:coreProperties>
</file>